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534E93" w:rsidRDefault="00C0471E" w:rsidP="000529BC">
      <w:pPr>
        <w:jc w:val="center"/>
        <w:rPr>
          <w:rFonts w:ascii="HY울릉도M" w:eastAsia="HY울릉도M"/>
          <w:b/>
          <w:sz w:val="56"/>
          <w:szCs w:val="52"/>
          <w:u w:val="single"/>
        </w:rPr>
      </w:pPr>
      <w:r>
        <w:rPr>
          <w:rFonts w:ascii="HY울릉도M" w:eastAsia="HY울릉도M" w:hint="eastAsia"/>
          <w:b/>
          <w:sz w:val="56"/>
          <w:szCs w:val="52"/>
          <w:u w:val="single"/>
        </w:rPr>
        <w:t>4</w:t>
      </w:r>
      <w:r w:rsidR="00DA3239" w:rsidRPr="00534E93">
        <w:rPr>
          <w:rFonts w:ascii="HY울릉도M" w:eastAsia="HY울릉도M" w:hint="eastAsia"/>
          <w:b/>
          <w:sz w:val="56"/>
          <w:szCs w:val="52"/>
          <w:u w:val="single"/>
        </w:rPr>
        <w:t>분기</w:t>
      </w:r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 xml:space="preserve"> </w:t>
      </w:r>
      <w:proofErr w:type="spellStart"/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>손위생</w:t>
      </w:r>
      <w:proofErr w:type="spellEnd"/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 xml:space="preserve"> 모니터링 결과 </w:t>
      </w:r>
      <w:r w:rsidR="00F76673" w:rsidRPr="00534E93">
        <w:rPr>
          <w:rFonts w:ascii="HY울릉도M" w:eastAsia="HY울릉도M" w:hint="eastAsia"/>
          <w:b/>
          <w:sz w:val="56"/>
          <w:szCs w:val="52"/>
          <w:u w:val="single"/>
        </w:rPr>
        <w:t>알림</w:t>
      </w:r>
    </w:p>
    <w:p w:rsidR="00977887" w:rsidRPr="00534E93" w:rsidRDefault="00977887" w:rsidP="000529BC">
      <w:pPr>
        <w:jc w:val="center"/>
        <w:rPr>
          <w:rFonts w:ascii="HY헤드라인M" w:eastAsia="HY헤드라인M"/>
          <w:b/>
          <w:sz w:val="28"/>
          <w:szCs w:val="18"/>
        </w:rPr>
      </w:pPr>
    </w:p>
    <w:p w:rsidR="00FD4013" w:rsidRPr="003D1764" w:rsidRDefault="00FD4013" w:rsidP="00FD4013">
      <w:pPr>
        <w:jc w:val="left"/>
        <w:rPr>
          <w:rFonts w:ascii="HY울릉도M" w:eastAsia="HY울릉도M" w:hAnsi="굴림"/>
          <w:b/>
          <w:color w:val="FF0000"/>
          <w:sz w:val="32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(</w:t>
      </w:r>
      <w:proofErr w:type="gramStart"/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목표</w:t>
      </w:r>
      <w:r w:rsidR="00011E47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 xml:space="preserve"> :</w:t>
      </w:r>
      <w:proofErr w:type="gramEnd"/>
      <w:r w:rsidR="00011E47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 xml:space="preserve"> 90</w:t>
      </w:r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%)</w:t>
      </w:r>
    </w:p>
    <w:p w:rsidR="003949B9" w:rsidRDefault="003949B9" w:rsidP="0057342A">
      <w:pPr>
        <w:ind w:leftChars="100" w:left="200"/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F021EA" w:rsidRPr="00F021EA" w:rsidRDefault="00C0471E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2D45B4B4" wp14:editId="300D5DA4">
            <wp:extent cx="6677247" cy="1424763"/>
            <wp:effectExtent l="0" t="0" r="9525" b="444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B4022" w:rsidRPr="008A6434" w:rsidRDefault="00AB4022">
      <w:pPr>
        <w:rPr>
          <w:rFonts w:ascii="HY헤드라인M" w:eastAsia="HY헤드라인M" w:hAnsi="굴림"/>
          <w:sz w:val="10"/>
          <w:szCs w:val="10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F021EA">
      <w:pPr>
        <w:rPr>
          <w:rFonts w:ascii="HY헤드라인M" w:eastAsia="HY헤드라인M" w:hAnsi="굴림"/>
          <w:sz w:val="12"/>
          <w:szCs w:val="12"/>
        </w:rPr>
      </w:pPr>
    </w:p>
    <w:p w:rsidR="003B5583" w:rsidRPr="004730ED" w:rsidRDefault="00C0471E" w:rsidP="0057342A">
      <w:pPr>
        <w:ind w:leftChars="100" w:left="200"/>
        <w:rPr>
          <w:rFonts w:ascii="HY헤드라인M" w:eastAsia="HY헤드라인M" w:hAnsi="굴림"/>
          <w:sz w:val="32"/>
          <w:szCs w:val="32"/>
        </w:rPr>
      </w:pPr>
      <w:r>
        <w:rPr>
          <w:noProof/>
        </w:rPr>
        <w:drawing>
          <wp:inline distT="0" distB="0" distL="0" distR="0" wp14:anchorId="55D9C8E3" wp14:editId="17D778F5">
            <wp:extent cx="6549656" cy="1254642"/>
            <wp:effectExtent l="0" t="0" r="3810" b="3175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F021EA" w:rsidRDefault="00F021EA" w:rsidP="006A7F91">
      <w:pPr>
        <w:rPr>
          <w:rFonts w:ascii="HY헤드라인M" w:eastAsia="HY헤드라인M" w:hAnsi="굴림"/>
          <w:sz w:val="16"/>
          <w:szCs w:val="16"/>
        </w:rPr>
      </w:pPr>
    </w:p>
    <w:p w:rsidR="003949B9" w:rsidRPr="0057342A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7D1276" w:rsidRPr="00F021EA" w:rsidRDefault="007D1276" w:rsidP="00F021EA">
      <w:pPr>
        <w:jc w:val="left"/>
        <w:rPr>
          <w:rFonts w:ascii="HY헤드라인M" w:eastAsia="HY헤드라인M" w:hAnsi="굴림"/>
          <w:sz w:val="12"/>
          <w:szCs w:val="12"/>
        </w:rPr>
      </w:pPr>
    </w:p>
    <w:p w:rsidR="008A6434" w:rsidRPr="00F65BB1" w:rsidRDefault="00C0471E" w:rsidP="0057342A">
      <w:pPr>
        <w:ind w:leftChars="100" w:left="200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3F215D0A" wp14:editId="7AA46291">
            <wp:extent cx="6549656" cy="1265275"/>
            <wp:effectExtent l="0" t="0" r="3810" b="0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342A" w:rsidRDefault="0057342A" w:rsidP="0057342A">
      <w:pPr>
        <w:jc w:val="left"/>
        <w:rPr>
          <w:rFonts w:ascii="HY헤드라인M" w:eastAsia="HY헤드라인M" w:hAnsi="굴림"/>
          <w:sz w:val="28"/>
          <w:szCs w:val="32"/>
        </w:rPr>
      </w:pPr>
    </w:p>
    <w:p w:rsidR="00346F71" w:rsidRPr="0057342A" w:rsidRDefault="006A7F91" w:rsidP="0057342A">
      <w:pPr>
        <w:jc w:val="left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46F71" w:rsidRPr="00F65BB1" w:rsidRDefault="00346F71" w:rsidP="006A7F91">
      <w:pPr>
        <w:rPr>
          <w:rFonts w:ascii="HY헤드라인M" w:eastAsia="HY헤드라인M" w:hAnsi="굴림"/>
          <w:sz w:val="12"/>
          <w:szCs w:val="12"/>
        </w:rPr>
      </w:pPr>
    </w:p>
    <w:p w:rsidR="00346F71" w:rsidRDefault="00C0471E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3A69B5E4" wp14:editId="297C2219">
            <wp:extent cx="6549656" cy="1297172"/>
            <wp:effectExtent l="0" t="0" r="3810" b="0"/>
            <wp:docPr id="10" name="차트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342A" w:rsidRDefault="0057342A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</w:p>
    <w:p w:rsidR="0057342A" w:rsidRPr="00346F71" w:rsidRDefault="0057342A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</w:p>
    <w:p w:rsidR="00346F71" w:rsidRPr="00E43B77" w:rsidRDefault="00346F71" w:rsidP="00346F71">
      <w:pPr>
        <w:rPr>
          <w:rFonts w:ascii="HY울릉도B" w:eastAsia="HY울릉도B" w:hAnsi="굴림"/>
          <w:color w:val="FF0000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 xml:space="preserve">월별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손소독제</w:t>
      </w:r>
      <w:proofErr w:type="spellEnd"/>
      <w:r>
        <w:rPr>
          <w:rFonts w:ascii="HY헤드라인M" w:eastAsia="HY헤드라인M" w:hAnsi="굴림" w:hint="eastAsia"/>
          <w:sz w:val="28"/>
          <w:szCs w:val="32"/>
        </w:rPr>
        <w:t xml:space="preserve"> 사용량</w:t>
      </w:r>
      <w:r w:rsidR="00E43B77">
        <w:rPr>
          <w:rFonts w:ascii="HY헤드라인M" w:eastAsia="HY헤드라인M" w:hAnsi="굴림" w:hint="eastAsia"/>
          <w:sz w:val="28"/>
          <w:szCs w:val="32"/>
        </w:rPr>
        <w:t xml:space="preserve"> </w:t>
      </w:r>
      <w:r w:rsidR="00E43B77" w:rsidRPr="00E43B77">
        <w:rPr>
          <w:rFonts w:ascii="HY울릉도B" w:eastAsia="HY울릉도B" w:hAnsi="굴림" w:hint="eastAsia"/>
          <w:color w:val="FF0000"/>
          <w:sz w:val="28"/>
          <w:szCs w:val="32"/>
        </w:rPr>
        <w:t>(</w:t>
      </w:r>
      <w:proofErr w:type="gramStart"/>
      <w:r w:rsidR="00E43B77" w:rsidRPr="00E43B77">
        <w:rPr>
          <w:rFonts w:ascii="HY울릉도B" w:eastAsia="HY울릉도B" w:hAnsi="굴림" w:hint="eastAsia"/>
          <w:color w:val="FF0000"/>
          <w:sz w:val="28"/>
          <w:szCs w:val="32"/>
        </w:rPr>
        <w:t>목표 :</w:t>
      </w:r>
      <w:proofErr w:type="gramEnd"/>
      <w:r w:rsidR="00E43B77" w:rsidRPr="00E43B77">
        <w:rPr>
          <w:rFonts w:ascii="HY울릉도B" w:eastAsia="HY울릉도B" w:hAnsi="굴림" w:hint="eastAsia"/>
          <w:color w:val="FF0000"/>
          <w:sz w:val="28"/>
          <w:szCs w:val="32"/>
        </w:rPr>
        <w:t xml:space="preserve"> 월평균 33통이상)</w:t>
      </w:r>
    </w:p>
    <w:p w:rsidR="00F65BB1" w:rsidRPr="00F65BB1" w:rsidRDefault="00F65BB1" w:rsidP="00346F71">
      <w:pPr>
        <w:rPr>
          <w:rFonts w:ascii="HY헤드라인M" w:eastAsia="HY헤드라인M" w:hAnsi="굴림"/>
          <w:sz w:val="12"/>
          <w:szCs w:val="12"/>
        </w:rPr>
      </w:pPr>
    </w:p>
    <w:p w:rsidR="00E43B77" w:rsidRPr="00011B6C" w:rsidRDefault="00C0471E" w:rsidP="00346F71">
      <w:pPr>
        <w:rPr>
          <w:rFonts w:ascii="HY헤드라인M" w:eastAsia="HY헤드라인M" w:hAnsi="굴림"/>
          <w:sz w:val="28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62C3A1E5" wp14:editId="55706D95">
            <wp:extent cx="6677247" cy="1201479"/>
            <wp:effectExtent l="0" t="0" r="0" b="0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0"/>
    </w:p>
    <w:p w:rsidR="00445903" w:rsidRDefault="00445903" w:rsidP="00E43B77">
      <w:pPr>
        <w:jc w:val="center"/>
        <w:rPr>
          <w:rFonts w:ascii="HY헤드라인M" w:eastAsia="HY헤드라인M" w:hAnsi="굴림"/>
          <w:sz w:val="16"/>
          <w:szCs w:val="32"/>
        </w:rPr>
      </w:pPr>
    </w:p>
    <w:p w:rsidR="00E43B77" w:rsidRPr="00E43B77" w:rsidRDefault="00E43B77" w:rsidP="00E43B77">
      <w:pPr>
        <w:jc w:val="center"/>
        <w:rPr>
          <w:rFonts w:ascii="HY헤드라인M" w:eastAsia="HY헤드라인M" w:hAnsi="굴림"/>
          <w:sz w:val="16"/>
          <w:szCs w:val="32"/>
        </w:rPr>
      </w:pPr>
      <w:proofErr w:type="spellStart"/>
      <w:r w:rsidRPr="00E43B77">
        <w:rPr>
          <w:rFonts w:ascii="HY헤드라인M" w:eastAsia="HY헤드라인M" w:hAnsi="굴림" w:hint="eastAsia"/>
          <w:sz w:val="16"/>
          <w:szCs w:val="32"/>
        </w:rPr>
        <w:t>부산노인전문제</w:t>
      </w:r>
      <w:proofErr w:type="spellEnd"/>
      <w:r w:rsidRPr="00E43B77">
        <w:rPr>
          <w:rFonts w:ascii="HY헤드라인M" w:eastAsia="HY헤드라인M" w:hAnsi="굴림" w:hint="eastAsia"/>
          <w:sz w:val="16"/>
          <w:szCs w:val="32"/>
        </w:rPr>
        <w:t>2병원</w:t>
      </w:r>
    </w:p>
    <w:sectPr w:rsidR="00E43B77" w:rsidRPr="00E43B77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B6C"/>
    <w:rsid w:val="00011E47"/>
    <w:rsid w:val="00035298"/>
    <w:rsid w:val="000353AC"/>
    <w:rsid w:val="0003611F"/>
    <w:rsid w:val="00043696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2A8D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1E2D"/>
    <w:rsid w:val="00112800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4869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46F71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4151"/>
    <w:rsid w:val="003D1764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45903"/>
    <w:rsid w:val="00466805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39AF"/>
    <w:rsid w:val="004D0729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4E93"/>
    <w:rsid w:val="00536757"/>
    <w:rsid w:val="00542997"/>
    <w:rsid w:val="005469C6"/>
    <w:rsid w:val="00550240"/>
    <w:rsid w:val="00550D3E"/>
    <w:rsid w:val="0055184D"/>
    <w:rsid w:val="0055283C"/>
    <w:rsid w:val="005543E1"/>
    <w:rsid w:val="0057342A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50D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A6434"/>
    <w:rsid w:val="008C514A"/>
    <w:rsid w:val="008C770A"/>
    <w:rsid w:val="008D1269"/>
    <w:rsid w:val="008D52AC"/>
    <w:rsid w:val="008F0723"/>
    <w:rsid w:val="008F6661"/>
    <w:rsid w:val="00910C53"/>
    <w:rsid w:val="0091361F"/>
    <w:rsid w:val="00942346"/>
    <w:rsid w:val="00947345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6B02"/>
    <w:rsid w:val="00A51E8A"/>
    <w:rsid w:val="00A55092"/>
    <w:rsid w:val="00A63A54"/>
    <w:rsid w:val="00A6751C"/>
    <w:rsid w:val="00A7313D"/>
    <w:rsid w:val="00A7472A"/>
    <w:rsid w:val="00A93FD1"/>
    <w:rsid w:val="00A9420E"/>
    <w:rsid w:val="00A96657"/>
    <w:rsid w:val="00AB35CD"/>
    <w:rsid w:val="00AB4022"/>
    <w:rsid w:val="00AC5ED1"/>
    <w:rsid w:val="00AD1143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46916"/>
    <w:rsid w:val="00B51492"/>
    <w:rsid w:val="00B52815"/>
    <w:rsid w:val="00B60FA5"/>
    <w:rsid w:val="00B62CFC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2214"/>
    <w:rsid w:val="00BC6671"/>
    <w:rsid w:val="00BE244B"/>
    <w:rsid w:val="00BE357E"/>
    <w:rsid w:val="00BE3A86"/>
    <w:rsid w:val="00BE6101"/>
    <w:rsid w:val="00BF0EFC"/>
    <w:rsid w:val="00BF1F05"/>
    <w:rsid w:val="00BF66FC"/>
    <w:rsid w:val="00C0471E"/>
    <w:rsid w:val="00C202F4"/>
    <w:rsid w:val="00C335C1"/>
    <w:rsid w:val="00C36FA6"/>
    <w:rsid w:val="00C44FEF"/>
    <w:rsid w:val="00C54811"/>
    <w:rsid w:val="00C57C07"/>
    <w:rsid w:val="00C70855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2555"/>
    <w:rsid w:val="00D65E21"/>
    <w:rsid w:val="00D7579F"/>
    <w:rsid w:val="00D760C6"/>
    <w:rsid w:val="00D777C7"/>
    <w:rsid w:val="00D83B9D"/>
    <w:rsid w:val="00D84C75"/>
    <w:rsid w:val="00D970EE"/>
    <w:rsid w:val="00DA3239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179A5"/>
    <w:rsid w:val="00E212FD"/>
    <w:rsid w:val="00E24EB5"/>
    <w:rsid w:val="00E33B90"/>
    <w:rsid w:val="00E43B77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3F52"/>
    <w:rsid w:val="00F30270"/>
    <w:rsid w:val="00F33B3C"/>
    <w:rsid w:val="00F417FE"/>
    <w:rsid w:val="00F44E3E"/>
    <w:rsid w:val="00F45D2D"/>
    <w:rsid w:val="00F500E3"/>
    <w:rsid w:val="00F559F0"/>
    <w:rsid w:val="00F57168"/>
    <w:rsid w:val="00F65BB1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0B58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541954494951944E-2"/>
          <c:y val="0.11814309913888714"/>
          <c:w val="0.88339442539007773"/>
          <c:h val="0.69852025455391065"/>
        </c:manualLayout>
      </c:layout>
      <c:lineChart>
        <c:grouping val="standard"/>
        <c:varyColors val="0"/>
        <c:ser>
          <c:idx val="2"/>
          <c:order val="0"/>
          <c:tx>
            <c:strRef>
              <c:f>'4분기'!$E$26</c:f>
              <c:strCache>
                <c:ptCount val="1"/>
                <c:pt idx="0">
                  <c:v>수행률(%)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circle"/>
            <c:size val="32"/>
            <c:spPr>
              <a:solidFill>
                <a:srgbClr val="7030A0"/>
              </a:solidFill>
              <a:ln>
                <a:noFill/>
              </a:ln>
            </c:spPr>
          </c:marker>
          <c:dLbls>
            <c:dLbl>
              <c:idx val="3"/>
              <c:layout>
                <c:manualLayout>
                  <c:x val="-7.0253893013729918E-2"/>
                  <c:y val="-7.870096702449730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'4분기'!$B$27:$B$34</c:f>
              <c:strCache>
                <c:ptCount val="8"/>
                <c:pt idx="0">
                  <c:v>2018' 1분기</c:v>
                </c:pt>
                <c:pt idx="1">
                  <c:v> 2분기</c:v>
                </c:pt>
                <c:pt idx="2">
                  <c:v>3분기</c:v>
                </c:pt>
                <c:pt idx="3">
                  <c:v> 4분기</c:v>
                </c:pt>
                <c:pt idx="4">
                  <c:v> 2019년 1분기</c:v>
                </c:pt>
                <c:pt idx="5">
                  <c:v> 2분기</c:v>
                </c:pt>
                <c:pt idx="6">
                  <c:v> 3분기</c:v>
                </c:pt>
                <c:pt idx="7">
                  <c:v> 4분기</c:v>
                </c:pt>
              </c:strCache>
            </c:strRef>
          </c:cat>
          <c:val>
            <c:numRef>
              <c:f>'4분기'!$E$27:$E$34</c:f>
              <c:numCache>
                <c:formatCode>0.0%</c:formatCode>
                <c:ptCount val="8"/>
                <c:pt idx="0">
                  <c:v>0.71759259259259256</c:v>
                </c:pt>
                <c:pt idx="1">
                  <c:v>0.84195402298850575</c:v>
                </c:pt>
                <c:pt idx="2">
                  <c:v>0.90100000000000002</c:v>
                </c:pt>
                <c:pt idx="3">
                  <c:v>0.93</c:v>
                </c:pt>
                <c:pt idx="4">
                  <c:v>0.92514970059880242</c:v>
                </c:pt>
                <c:pt idx="5">
                  <c:v>0.90384615384615385</c:v>
                </c:pt>
                <c:pt idx="6">
                  <c:v>0.93292682926829273</c:v>
                </c:pt>
                <c:pt idx="7">
                  <c:v>0.93728222996515675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517824"/>
        <c:axId val="65523712"/>
      </c:lineChart>
      <c:catAx>
        <c:axId val="65517824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65523712"/>
        <c:crosses val="autoZero"/>
        <c:auto val="1"/>
        <c:lblAlgn val="ctr"/>
        <c:lblOffset val="0"/>
        <c:noMultiLvlLbl val="0"/>
      </c:catAx>
      <c:valAx>
        <c:axId val="65523712"/>
        <c:scaling>
          <c:orientation val="minMax"/>
          <c:max val="1"/>
          <c:min val="0.60000000000000064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65517824"/>
        <c:crosses val="autoZero"/>
        <c:crossBetween val="between"/>
        <c:majorUnit val="0.1"/>
        <c:minorUnit val="0.1"/>
      </c:valAx>
      <c:spPr>
        <a:noFill/>
      </c:spPr>
    </c:plotArea>
    <c:plotVisOnly val="1"/>
    <c:dispBlanksAs val="gap"/>
    <c:showDLblsOverMax val="0"/>
  </c:chart>
  <c:spPr>
    <a:noFill/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640995681991566E-2"/>
          <c:y val="0.16855584583674221"/>
          <c:w val="0.73344963169926891"/>
          <c:h val="0.655734619011048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'4분기'!$I$7</c:f>
              <c:strCache>
                <c:ptCount val="1"/>
                <c:pt idx="0">
                  <c:v> 3분기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'4분기'!$H$8:$H$10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'4분기'!$I$8:$I$10</c:f>
              <c:numCache>
                <c:formatCode>0.0%</c:formatCode>
                <c:ptCount val="3"/>
                <c:pt idx="0">
                  <c:v>0.92929292929292895</c:v>
                </c:pt>
                <c:pt idx="1">
                  <c:v>0.9375</c:v>
                </c:pt>
                <c:pt idx="2">
                  <c:v>0.93220338983050843</c:v>
                </c:pt>
              </c:numCache>
            </c:numRef>
          </c:val>
        </c:ser>
        <c:ser>
          <c:idx val="1"/>
          <c:order val="1"/>
          <c:tx>
            <c:strRef>
              <c:f>'4분기'!$J$7</c:f>
              <c:strCache>
                <c:ptCount val="1"/>
                <c:pt idx="0">
                  <c:v> 4분기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'4분기'!$H$8:$H$10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'4분기'!$J$8:$J$10</c:f>
              <c:numCache>
                <c:formatCode>0.0%</c:formatCode>
                <c:ptCount val="3"/>
                <c:pt idx="0">
                  <c:v>0.96250000000000002</c:v>
                </c:pt>
                <c:pt idx="1">
                  <c:v>0.92380952380952386</c:v>
                </c:pt>
                <c:pt idx="2">
                  <c:v>0.93137254901960786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08652800"/>
        <c:axId val="109060480"/>
      </c:barChart>
      <c:catAx>
        <c:axId val="108652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109060480"/>
        <c:crosses val="autoZero"/>
        <c:auto val="1"/>
        <c:lblAlgn val="ctr"/>
        <c:lblOffset val="0"/>
        <c:noMultiLvlLbl val="0"/>
      </c:catAx>
      <c:valAx>
        <c:axId val="109060480"/>
        <c:scaling>
          <c:orientation val="minMax"/>
          <c:max val="1"/>
          <c:min val="0.70000000000000007"/>
        </c:scaling>
        <c:delete val="0"/>
        <c:axPos val="l"/>
        <c:numFmt formatCode="0%" sourceLinked="0"/>
        <c:majorTickMark val="none"/>
        <c:minorTickMark val="none"/>
        <c:tickLblPos val="nextTo"/>
        <c:crossAx val="108652800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7843430159611791"/>
          <c:y val="0.25292766237179681"/>
          <c:w val="0.11521648888046769"/>
          <c:h val="0.56410997304092569"/>
        </c:manualLayout>
      </c:layout>
      <c:overlay val="0"/>
      <c:txPr>
        <a:bodyPr/>
        <a:lstStyle/>
        <a:p>
          <a:pPr>
            <a:defRPr sz="10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02887139107922E-2"/>
          <c:y val="0.18787029219770529"/>
          <c:w val="0.73913097250443283"/>
          <c:h val="0.6322745154598513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'4분기'!$I$12</c:f>
              <c:strCache>
                <c:ptCount val="1"/>
                <c:pt idx="0">
                  <c:v> 3분기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'4분기'!$H$13:$H$16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'4분기'!$I$13:$I$16</c:f>
              <c:numCache>
                <c:formatCode>0.0%</c:formatCode>
                <c:ptCount val="4"/>
                <c:pt idx="0">
                  <c:v>0.95424836601307195</c:v>
                </c:pt>
                <c:pt idx="1">
                  <c:v>0.90780141843971629</c:v>
                </c:pt>
                <c:pt idx="2">
                  <c:v>0.95833333333333337</c:v>
                </c:pt>
                <c:pt idx="3">
                  <c:v>0.90909090909090906</c:v>
                </c:pt>
              </c:numCache>
            </c:numRef>
          </c:val>
        </c:ser>
        <c:ser>
          <c:idx val="0"/>
          <c:order val="1"/>
          <c:tx>
            <c:strRef>
              <c:f>'4분기'!$J$12</c:f>
              <c:strCache>
                <c:ptCount val="1"/>
                <c:pt idx="0">
                  <c:v> 4분기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'4분기'!$H$13:$H$16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'4분기'!$J$13:$J$16</c:f>
              <c:numCache>
                <c:formatCode>0.0%</c:formatCode>
                <c:ptCount val="4"/>
                <c:pt idx="0">
                  <c:v>0.95683453237410077</c:v>
                </c:pt>
                <c:pt idx="1">
                  <c:v>0.91338582677165359</c:v>
                </c:pt>
                <c:pt idx="2" formatCode="0%">
                  <c:v>0.94444444444444442</c:v>
                </c:pt>
                <c:pt idx="3" formatCode="0%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08322176"/>
        <c:axId val="108540672"/>
      </c:barChart>
      <c:catAx>
        <c:axId val="10832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 b="1"/>
            </a:pPr>
            <a:endParaRPr lang="ko-KR"/>
          </a:p>
        </c:txPr>
        <c:crossAx val="108540672"/>
        <c:crosses val="autoZero"/>
        <c:auto val="1"/>
        <c:lblAlgn val="ctr"/>
        <c:lblOffset val="0"/>
        <c:noMultiLvlLbl val="0"/>
      </c:catAx>
      <c:valAx>
        <c:axId val="108540672"/>
        <c:scaling>
          <c:orientation val="minMax"/>
          <c:max val="1"/>
          <c:min val="0.70000000000000007"/>
        </c:scaling>
        <c:delete val="0"/>
        <c:axPos val="l"/>
        <c:numFmt formatCode="0%" sourceLinked="0"/>
        <c:majorTickMark val="none"/>
        <c:minorTickMark val="none"/>
        <c:tickLblPos val="nextTo"/>
        <c:crossAx val="108322176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6279193711256419"/>
          <c:y val="0.35775214881121664"/>
          <c:w val="0.12870225208452299"/>
          <c:h val="0.46886025341200571"/>
        </c:manualLayout>
      </c:layout>
      <c:overlay val="0"/>
      <c:txPr>
        <a:bodyPr/>
        <a:lstStyle/>
        <a:p>
          <a:pPr>
            <a:defRPr sz="10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651465443013293E-2"/>
          <c:y val="0.12631740933501159"/>
          <c:w val="0.7567859361691982"/>
          <c:h val="0.670568890848017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'4분기'!$I$18</c:f>
              <c:strCache>
                <c:ptCount val="1"/>
                <c:pt idx="0">
                  <c:v> 3분기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'4분기'!$H$19:$H$21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'4분기'!$I$19:$I$21</c:f>
              <c:numCache>
                <c:formatCode>0.0%</c:formatCode>
                <c:ptCount val="3"/>
                <c:pt idx="0">
                  <c:v>0.94202898550724634</c:v>
                </c:pt>
                <c:pt idx="1">
                  <c:v>0.95604395604395609</c:v>
                </c:pt>
                <c:pt idx="2">
                  <c:v>0.91616766467065869</c:v>
                </c:pt>
              </c:numCache>
            </c:numRef>
          </c:val>
        </c:ser>
        <c:ser>
          <c:idx val="1"/>
          <c:order val="1"/>
          <c:tx>
            <c:strRef>
              <c:f>'4분기'!$J$18</c:f>
              <c:strCache>
                <c:ptCount val="1"/>
                <c:pt idx="0">
                  <c:v> 4분기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'4분기'!$H$19:$H$21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'4분기'!$J$19:$J$21</c:f>
              <c:numCache>
                <c:formatCode>0.0%</c:formatCode>
                <c:ptCount val="3"/>
                <c:pt idx="0">
                  <c:v>0.94594594594594594</c:v>
                </c:pt>
                <c:pt idx="1">
                  <c:v>0.95238095238095233</c:v>
                </c:pt>
                <c:pt idx="2">
                  <c:v>0.92666666666666664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3199616"/>
        <c:axId val="73201152"/>
      </c:barChart>
      <c:catAx>
        <c:axId val="7319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3201152"/>
        <c:crosses val="autoZero"/>
        <c:auto val="1"/>
        <c:lblAlgn val="ctr"/>
        <c:lblOffset val="0"/>
        <c:noMultiLvlLbl val="0"/>
      </c:catAx>
      <c:valAx>
        <c:axId val="73201152"/>
        <c:scaling>
          <c:orientation val="minMax"/>
          <c:max val="1"/>
          <c:min val="0.70000000000000007"/>
        </c:scaling>
        <c:delete val="0"/>
        <c:axPos val="l"/>
        <c:numFmt formatCode="0%" sourceLinked="0"/>
        <c:majorTickMark val="none"/>
        <c:minorTickMark val="none"/>
        <c:tickLblPos val="nextTo"/>
        <c:crossAx val="73199616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6607951335797251"/>
          <c:y val="0.29725254045916449"/>
          <c:w val="0.10843771007274759"/>
          <c:h val="0.50870142904392046"/>
        </c:manualLayout>
      </c:layout>
      <c:overlay val="0"/>
      <c:txPr>
        <a:bodyPr/>
        <a:lstStyle/>
        <a:p>
          <a:pPr>
            <a:defRPr sz="10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741902269349002E-2"/>
          <c:y val="0.15942491844818929"/>
          <c:w val="0.75862672146170418"/>
          <c:h val="0.5890623316063538"/>
        </c:manualLayout>
      </c:layout>
      <c:lineChart>
        <c:grouping val="standard"/>
        <c:varyColors val="0"/>
        <c:ser>
          <c:idx val="0"/>
          <c:order val="0"/>
          <c:tx>
            <c:strRef>
              <c:f>'4분기'!$I$25</c:f>
              <c:strCache>
                <c:ptCount val="1"/>
                <c:pt idx="0">
                  <c:v>2018년</c:v>
                </c:pt>
              </c:strCache>
            </c:strRef>
          </c:tx>
          <c:spPr>
            <a:ln w="38100">
              <a:solidFill>
                <a:srgbClr val="0070C0"/>
              </a:solidFill>
            </a:ln>
          </c:spPr>
          <c:marker>
            <c:symbol val="circle"/>
            <c:size val="7"/>
            <c:spPr>
              <a:solidFill>
                <a:srgbClr val="0070C0"/>
              </a:solidFill>
              <a:ln>
                <a:noFill/>
              </a:ln>
            </c:spPr>
          </c:marker>
          <c:dLbls>
            <c:dLbl>
              <c:idx val="4"/>
              <c:layout>
                <c:manualLayout>
                  <c:x val="-2.6884582822831026E-2"/>
                  <c:y val="-9.79350897113866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526003278291163E-2"/>
                  <c:y val="7.59673845328874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1809738776752153E-2"/>
                  <c:y val="8.4313137924417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6275323166103811E-2"/>
                  <c:y val="8.4313137924417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9626503445472057E-2"/>
                  <c:y val="5.927587774982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6884582822831026E-2"/>
                  <c:y val="-6.88015415142165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3.1809738776752153E-2"/>
                  <c:y val="9.2658891315947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 b="1">
                    <a:solidFill>
                      <a:srgbClr val="0070C0"/>
                    </a:solidFill>
                  </a:defRPr>
                </a:pPr>
                <a:endParaRPr lang="ko-K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'4분기'!$H$26:$H$37</c:f>
              <c:strCache>
                <c:ptCount val="12"/>
                <c:pt idx="0">
                  <c:v>1월</c:v>
                </c:pt>
                <c:pt idx="1">
                  <c:v>2월</c:v>
                </c:pt>
                <c:pt idx="2">
                  <c:v>3월</c:v>
                </c:pt>
                <c:pt idx="3">
                  <c:v>4월</c:v>
                </c:pt>
                <c:pt idx="4">
                  <c:v>5월</c:v>
                </c:pt>
                <c:pt idx="5">
                  <c:v>6월</c:v>
                </c:pt>
                <c:pt idx="6">
                  <c:v>7월</c:v>
                </c:pt>
                <c:pt idx="7">
                  <c:v>8월</c:v>
                </c:pt>
                <c:pt idx="8">
                  <c:v>9월</c:v>
                </c:pt>
                <c:pt idx="9">
                  <c:v>10월</c:v>
                </c:pt>
                <c:pt idx="10">
                  <c:v>11월</c:v>
                </c:pt>
                <c:pt idx="11">
                  <c:v>12월</c:v>
                </c:pt>
              </c:strCache>
            </c:strRef>
          </c:cat>
          <c:val>
            <c:numRef>
              <c:f>'4분기'!$I$26:$I$37</c:f>
              <c:numCache>
                <c:formatCode>General</c:formatCode>
                <c:ptCount val="12"/>
                <c:pt idx="0">
                  <c:v>24</c:v>
                </c:pt>
                <c:pt idx="1">
                  <c:v>24</c:v>
                </c:pt>
                <c:pt idx="2">
                  <c:v>24</c:v>
                </c:pt>
                <c:pt idx="3">
                  <c:v>25</c:v>
                </c:pt>
                <c:pt idx="4">
                  <c:v>67</c:v>
                </c:pt>
                <c:pt idx="5">
                  <c:v>13</c:v>
                </c:pt>
                <c:pt idx="6">
                  <c:v>15</c:v>
                </c:pt>
                <c:pt idx="7">
                  <c:v>8</c:v>
                </c:pt>
                <c:pt idx="8">
                  <c:v>36</c:v>
                </c:pt>
                <c:pt idx="9">
                  <c:v>16</c:v>
                </c:pt>
                <c:pt idx="10">
                  <c:v>82</c:v>
                </c:pt>
                <c:pt idx="11">
                  <c:v>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'4분기'!$J$25</c:f>
              <c:strCache>
                <c:ptCount val="1"/>
                <c:pt idx="0">
                  <c:v>2019년</c:v>
                </c:pt>
              </c:strCache>
            </c:strRef>
          </c:tx>
          <c:spPr>
            <a:ln>
              <a:solidFill>
                <a:srgbClr val="FF3300"/>
              </a:solidFill>
            </a:ln>
          </c:spPr>
          <c:marker>
            <c:symbol val="square"/>
            <c:size val="18"/>
            <c:spPr>
              <a:solidFill>
                <a:srgbClr val="FF3300"/>
              </a:solidFill>
              <a:ln w="25400">
                <a:noFill/>
              </a:ln>
            </c:spPr>
          </c:marker>
          <c:dLbls>
            <c:dLbl>
              <c:idx val="0"/>
              <c:layout>
                <c:manualLayout>
                  <c:x val="-4.5722301710883338E-2"/>
                  <c:y val="1.6518525214830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7944523544265344E-2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'4분기'!$H$26:$H$37</c:f>
              <c:strCache>
                <c:ptCount val="12"/>
                <c:pt idx="0">
                  <c:v>1월</c:v>
                </c:pt>
                <c:pt idx="1">
                  <c:v>2월</c:v>
                </c:pt>
                <c:pt idx="2">
                  <c:v>3월</c:v>
                </c:pt>
                <c:pt idx="3">
                  <c:v>4월</c:v>
                </c:pt>
                <c:pt idx="4">
                  <c:v>5월</c:v>
                </c:pt>
                <c:pt idx="5">
                  <c:v>6월</c:v>
                </c:pt>
                <c:pt idx="6">
                  <c:v>7월</c:v>
                </c:pt>
                <c:pt idx="7">
                  <c:v>8월</c:v>
                </c:pt>
                <c:pt idx="8">
                  <c:v>9월</c:v>
                </c:pt>
                <c:pt idx="9">
                  <c:v>10월</c:v>
                </c:pt>
                <c:pt idx="10">
                  <c:v>11월</c:v>
                </c:pt>
                <c:pt idx="11">
                  <c:v>12월</c:v>
                </c:pt>
              </c:strCache>
            </c:strRef>
          </c:cat>
          <c:val>
            <c:numRef>
              <c:f>'4분기'!$J$26:$J$37</c:f>
              <c:numCache>
                <c:formatCode>General</c:formatCode>
                <c:ptCount val="12"/>
                <c:pt idx="0">
                  <c:v>32</c:v>
                </c:pt>
                <c:pt idx="1">
                  <c:v>72</c:v>
                </c:pt>
                <c:pt idx="2">
                  <c:v>22</c:v>
                </c:pt>
                <c:pt idx="3">
                  <c:v>22</c:v>
                </c:pt>
                <c:pt idx="4">
                  <c:v>36</c:v>
                </c:pt>
                <c:pt idx="5">
                  <c:v>28</c:v>
                </c:pt>
                <c:pt idx="6">
                  <c:v>36</c:v>
                </c:pt>
                <c:pt idx="7">
                  <c:v>35</c:v>
                </c:pt>
                <c:pt idx="8">
                  <c:v>60</c:v>
                </c:pt>
                <c:pt idx="9">
                  <c:v>40</c:v>
                </c:pt>
                <c:pt idx="10">
                  <c:v>45</c:v>
                </c:pt>
                <c:pt idx="11">
                  <c:v>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179072"/>
        <c:axId val="82303232"/>
      </c:lineChart>
      <c:catAx>
        <c:axId val="70179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 b="1"/>
            </a:pPr>
            <a:endParaRPr lang="ko-KR"/>
          </a:p>
        </c:txPr>
        <c:crossAx val="82303232"/>
        <c:crosses val="autoZero"/>
        <c:auto val="1"/>
        <c:lblAlgn val="ctr"/>
        <c:lblOffset val="100"/>
        <c:noMultiLvlLbl val="0"/>
      </c:catAx>
      <c:valAx>
        <c:axId val="82303232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0" vert="eaVert"/>
              <a:lstStyle/>
              <a:p>
                <a:pPr>
                  <a:defRPr sz="900"/>
                </a:pPr>
                <a:r>
                  <a:rPr lang="en-US" altLang="ko-KR" sz="900" baseline="0"/>
                  <a:t>  (</a:t>
                </a:r>
                <a:r>
                  <a:rPr lang="ko-KR" altLang="en-US" sz="900" baseline="0"/>
                  <a:t>통</a:t>
                </a:r>
                <a:r>
                  <a:rPr lang="en-US" altLang="ko-KR" sz="900" baseline="0"/>
                  <a:t>)</a:t>
                </a:r>
                <a:endParaRPr lang="ko-KR" altLang="en-US" sz="900"/>
              </a:p>
            </c:rich>
          </c:tx>
          <c:layout>
            <c:manualLayout>
              <c:xMode val="edge"/>
              <c:yMode val="edge"/>
              <c:x val="1.6951596968031884E-3"/>
              <c:y val="8.8145694261790308E-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7017907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100"/>
          </a:pPr>
          <a:endParaRPr lang="ko-KR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0.08589</cdr:x>
      <cdr:y>0.27541</cdr:y>
    </cdr:from>
    <cdr:to>
      <cdr:x>1</cdr:x>
      <cdr:y>0.28525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44501" y="444499"/>
          <a:ext cx="4730749" cy="1587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0.08369</cdr:x>
      <cdr:y>0.30883</cdr:y>
    </cdr:from>
    <cdr:to>
      <cdr:x>0.837</cdr:x>
      <cdr:y>0.3172</cdr:y>
    </cdr:to>
    <cdr:cxnSp macro="">
      <cdr:nvCxnSpPr>
        <cdr:cNvPr id="3" name="직선 연결선 2"/>
        <cdr:cNvCxnSpPr/>
      </cdr:nvCxnSpPr>
      <cdr:spPr>
        <a:xfrm xmlns:a="http://schemas.openxmlformats.org/drawingml/2006/main" flipV="1">
          <a:off x="435426" y="560830"/>
          <a:ext cx="3919496" cy="1520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0.64372</cdr:x>
      <cdr:y>0.64098</cdr:y>
    </cdr:from>
    <cdr:to>
      <cdr:x>0.74887</cdr:x>
      <cdr:y>0.79819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377407" y="1165111"/>
          <a:ext cx="551656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700"/>
            <a:t>건수없음</a:t>
          </a:r>
          <a:endParaRPr lang="ko-KR" altLang="en-US" sz="1100"/>
        </a:p>
      </cdr:txBody>
    </cdr:sp>
  </cdr:relSizeAnchor>
  <cdr:relSizeAnchor xmlns:cdr="http://schemas.openxmlformats.org/drawingml/2006/chartDrawing">
    <cdr:from>
      <cdr:x>0.0623</cdr:x>
      <cdr:y>0.3278</cdr:y>
    </cdr:from>
    <cdr:to>
      <cdr:x>0.84508</cdr:x>
      <cdr:y>0.34283</cdr:y>
    </cdr:to>
    <cdr:cxnSp macro="">
      <cdr:nvCxnSpPr>
        <cdr:cNvPr id="3" name="직선 연결선 2"/>
        <cdr:cNvCxnSpPr/>
      </cdr:nvCxnSpPr>
      <cdr:spPr>
        <a:xfrm xmlns:a="http://schemas.openxmlformats.org/drawingml/2006/main" flipV="1">
          <a:off x="324871" y="593611"/>
          <a:ext cx="4082143" cy="2721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0.07741</cdr:x>
      <cdr:y>0.28503</cdr:y>
    </cdr:from>
    <cdr:to>
      <cdr:x>0.82728</cdr:x>
      <cdr:y>0.2937</cdr:y>
    </cdr:to>
    <cdr:cxnSp macro="">
      <cdr:nvCxnSpPr>
        <cdr:cNvPr id="2" name="직선 연결선 1"/>
        <cdr:cNvCxnSpPr/>
      </cdr:nvCxnSpPr>
      <cdr:spPr>
        <a:xfrm xmlns:a="http://schemas.openxmlformats.org/drawingml/2006/main" flipV="1">
          <a:off x="404586" y="499836"/>
          <a:ext cx="3919496" cy="1520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3CAF7-34FA-4F87-BDA4-899BB527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104</cp:revision>
  <cp:lastPrinted>2017-07-06T04:47:00Z</cp:lastPrinted>
  <dcterms:created xsi:type="dcterms:W3CDTF">2018-07-02T15:04:00Z</dcterms:created>
  <dcterms:modified xsi:type="dcterms:W3CDTF">2020-01-03T12:10:00Z</dcterms:modified>
</cp:coreProperties>
</file>